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2835"/>
        <w:gridCol w:w="3226"/>
      </w:tblGrid>
      <w:tr>
        <w:trPr>
          <w:trHeight w:val="144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5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18.09.2017</w:t>
        <w:tab/>
        <w:tab/>
        <w:tab/>
        <w:tab/>
        <w:tab/>
        <w:tab/>
        <w:tab/>
        <w:tab/>
        <w:tab/>
        <w:tab/>
        <w:tab/>
        <w:t xml:space="preserve">   № 658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69_52751172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постановление а</w:t>
      </w:r>
      <w:bookmarkStart w:id="1" w:name="__DdeLink__34844_30117092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дминистрации Колпашевского поселения от 03.08.2016 № 586 «Об утверждении Административного регламента предоставления муниципальной услуги «</w:t>
      </w:r>
      <w:r>
        <w:rPr>
          <w:rFonts w:eastAsia="SimSun" w:cs="Times New Roman" w:ascii="Times New Roman" w:hAnsi="Times New Roman"/>
          <w:bCs/>
          <w:color w:val="00000A"/>
          <w:sz w:val="28"/>
          <w:szCs w:val="28"/>
          <w:lang w:val="ru-RU" w:eastAsia="zh-CN" w:bidi="hi-IN"/>
        </w:rPr>
        <w:t>Заключение соглашения о перераспределении земель и (или) земельных участков</w:t>
      </w:r>
      <w:bookmarkEnd w:id="0"/>
      <w:bookmarkEnd w:id="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, расположенных в границах муниципального образования «Колпашевское городское поселение» и находящихся в собственности муниципального образования «Колпашевское городское поселение», земельных участков, государственная собственность на который не разграничена и земельных участков, находящихся в частной собственности»</w:t>
      </w:r>
    </w:p>
    <w:p>
      <w:pPr>
        <w:pStyle w:val="Normal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соответствии с Федеральными законами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на основании Устава муниципального образования «Колпашевское городское поселение»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 Внести изменения в приложение к постановлению администрации Колпашевского поселения от 03.08.2016 № 586 «Об утверждении Административного регламента предоставления муниципальной услуги «</w:t>
      </w:r>
      <w:r>
        <w:rPr>
          <w:rFonts w:eastAsia="SimSun" w:cs="Times New Roman" w:ascii="Times New Roman" w:hAnsi="Times New Roman"/>
          <w:bCs/>
          <w:color w:val="00000A"/>
          <w:sz w:val="28"/>
          <w:szCs w:val="28"/>
          <w:lang w:val="ru-RU" w:eastAsia="zh-CN" w:bidi="hi-IN"/>
        </w:rPr>
        <w:t>Заключение соглашения о перераспределении земель и (или) земельных участков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, расположенных в границах муниципального образования «Колпашевское городское поселение» и находящихся в собственности муниципального образования «Колпашевское городское поселение», земельных участков, государственная собственность на который не разграничена и земельных участков, находящихся в частной собственности»: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1.1. Пункты 26 раздела «2. Стандарт предоставления муниципальной услуги» административного регламента дополнить следующими словами:</w:t>
      </w:r>
    </w:p>
    <w:p>
      <w:pPr>
        <w:pStyle w:val="Normal"/>
        <w:spacing w:lineRule="auto" w:line="24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>«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статьей</w:t>
      </w:r>
      <w:r>
        <w:rPr>
          <w:rStyle w:val="Style17"/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 xml:space="preserve"> 3.5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Федерального закона от 25 октября 2001 года N 137-ФЗ "О введении в действие Земельного кодекса Российской Федерации",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администрация Колпашевского городского поселения уведомляет заявителя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».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Баранова С.А.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Главы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 xml:space="preserve">       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М.С.Пушкина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6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9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105616</TotalTime>
  <Application>LibreOffice/5.2.6.2$Windows_x86 LibreOffice_project/a3100ed2409ebf1c212f5048fbe377c281438fdc</Application>
  <Pages>2</Pages>
  <Words>347</Words>
  <Characters>2728</Characters>
  <CharactersWithSpaces>3096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2017-09-18T16:53:53Z</cp:lastPrinted>
  <dcterms:modified xsi:type="dcterms:W3CDTF">2017-09-18T16:53:39Z</dcterms:modified>
  <cp:revision>92</cp:revision>
  <dc:subject/>
  <dc:title>Оглавление</dc:title>
</cp:coreProperties>
</file>